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Open Sans" w:cs="Open Sans" w:eastAsia="Open Sans" w:hAnsi="Open Sans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none"/>
          <w:vertAlign w:val="baseline"/>
          <w:rtl w:val="0"/>
        </w:rPr>
        <w:t xml:space="preserve">SITE HAZARD REGISTER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25889" cy="10429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5889" cy="1042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rFonts w:ascii="Open Sans" w:cs="Open Sans" w:eastAsia="Open Sans" w:hAnsi="Open Sans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36"/>
          <w:szCs w:val="36"/>
          <w:u w:val="none"/>
          <w:rtl w:val="0"/>
        </w:rPr>
        <w:t xml:space="preserve">XYZ Archery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Open Sans" w:cs="Open Sans" w:eastAsia="Open Sans" w:hAnsi="Open Sans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36"/>
          <w:szCs w:val="36"/>
          <w:u w:val="none"/>
          <w:rtl w:val="0"/>
        </w:rPr>
        <w:t xml:space="preserve">Paddock 16, 225 Gt Main Road, Erewhon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highlight w:val="lightGray"/>
          <w:vertAlign w:val="baseline"/>
          <w:rtl w:val="0"/>
        </w:rPr>
        <w:t xml:space="preserve">Known Site Hazards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8"/>
        <w:gridCol w:w="1740"/>
        <w:gridCol w:w="630"/>
        <w:gridCol w:w="7046"/>
        <w:tblGridChange w:id="0">
          <w:tblGrid>
            <w:gridCol w:w="4758"/>
            <w:gridCol w:w="1740"/>
            <w:gridCol w:w="630"/>
            <w:gridCol w:w="704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b w:val="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Identified 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Open Sans" w:cs="Open Sans" w:eastAsia="Open Sans" w:hAnsi="Open San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b w:val="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Action Taken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Un-level ground -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drainage</w:t>
            </w: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 channel by entrance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gate.  Tripping.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color w:val="00b0f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Minimise</w:t>
            </w:r>
          </w:p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Club Members will be made aware of this hazard.  Hazard to be sprayed with Dazzle.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Marquee/Gazebo Guide ropes &amp; pegs. Tripping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color w:val="00b0f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Pegs to be flush with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</w:t>
            </w: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ground or capped with high vis toggle.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Guide ropes to have a coloured marker tied on for visual recognition.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Isolate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Minimise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899" w:w="16838" w:orient="landscape"/>
      <w:pgMar w:bottom="81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Archery NZ - Harad Register Example Ver: 11_2023</w:t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Open Sans" w:cs="Open Sans" w:eastAsia="Open Sans" w:hAnsi="Open Sans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0"/>
      <w:u w:val="single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GB"/>
    </w:rPr>
  </w:style>
  <w:style w:type="paragraph" w:styleId="Subtitle">
    <w:name w:val="Subtitle"/>
    <w:basedOn w:val="Normal"/>
    <w:next w:val="Normal"/>
    <w:pPr/>
    <w:rPr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gmE3QPFA015obdj0sYUnPd+/AA==">CgMxLjA4AHIhMXIyaUtReXBGOW55U25Ua1hDTXd0TU91VTM1S214VXBq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2023-11-12T04:22:00Z</dcterms:created>
  <dc:creator>Eddie Morrow</dc:creator>
</cp:coreProperties>
</file>